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訓練日期：2026/05/22~2026/05/22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訓練日期：2026/05/22~2026/05/22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2026/05/22~2026/05/22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1.具有營造業甲種業務主管、營造業乙種業務主管、營造業丙種業務主管等任一訓練之結業證書正本及影本1份、身分證正、反影本1份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