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2026/08/03~2026/08/03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2026/08/03~2026/08/03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2026/08/03~2026/08/03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具有營造業甲種業務主管、營造業乙種業務主管、營造業丙種業務主管等任一訓練之結業證書正本及影本1份、身分證正、反影本1份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