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2026/09/28~2026/09/28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2026/09/28~2026/09/28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2026/09/28~2026/09/28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具有營造業甲種業務主管、營造業乙種業務主管、營造業丙種業務主管等任一訓練之結業證書正本及影本1份、身分證正、反影本1份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